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page" w:horzAnchor="page" w:tblpXSpec="right" w:tblpY="361"/>
        <w:tblOverlap w:val="never"/>
        <w:tblW w:w="5500" w:type="pct"/>
        <w:tbl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single" w:sz="8" w:space="0" w:color="C0504D" w:themeColor="accent2"/>
          <w:insideV w:val="single" w:sz="8" w:space="0" w:color="C0504D" w:themeColor="accent2"/>
        </w:tblBorders>
        <w:shd w:val="clear" w:color="auto" w:fill="1F497D" w:themeFill="text2"/>
        <w:tblLook w:val="01E0"/>
      </w:tblPr>
      <w:tblGrid>
        <w:gridCol w:w="10528"/>
      </w:tblGrid>
      <w:tr w:rsidR="00AA7D47" w:rsidRPr="00A73EB3" w:rsidTr="00327531">
        <w:trPr>
          <w:trHeight w:hRule="exact" w:val="360"/>
        </w:trPr>
        <w:tc>
          <w:tcPr>
            <w:tcW w:w="8856" w:type="dxa"/>
            <w:shd w:val="clear" w:color="auto" w:fill="1F497D" w:themeFill="text2"/>
          </w:tcPr>
          <w:p w:rsidR="00AA7D47" w:rsidRDefault="00AA7D47" w:rsidP="00327531"/>
        </w:tc>
      </w:tr>
    </w:tbl>
    <w:p w:rsidR="00AA7D47" w:rsidRDefault="00AA7D47" w:rsidP="00AA7D47">
      <w:pPr>
        <w:jc w:val="right"/>
      </w:pPr>
      <w:r>
        <w:t xml:space="preserve">                                                                         </w:t>
      </w:r>
    </w:p>
    <w:tbl>
      <w:tblPr>
        <w:tblpPr w:leftFromText="187" w:rightFromText="187" w:horzAnchor="margin" w:tblpXSpec="center" w:tblpYSpec="bottom"/>
        <w:tblW w:w="5209" w:type="pct"/>
        <w:tblLook w:val="01E0"/>
      </w:tblPr>
      <w:tblGrid>
        <w:gridCol w:w="1353"/>
        <w:gridCol w:w="5932"/>
        <w:gridCol w:w="2686"/>
      </w:tblGrid>
      <w:tr w:rsidR="00AA7D47" w:rsidRPr="00A73EB3" w:rsidTr="00327531">
        <w:trPr>
          <w:trHeight w:val="5760"/>
        </w:trPr>
        <w:tc>
          <w:tcPr>
            <w:tcW w:w="1205" w:type="dxa"/>
            <w:tcBorders>
              <w:right w:val="single" w:sz="18" w:space="0" w:color="C0504D" w:themeColor="accent2"/>
            </w:tcBorders>
          </w:tcPr>
          <w:p w:rsidR="00AA7D47" w:rsidRDefault="00AA7D47" w:rsidP="00327531">
            <w:pPr>
              <w:spacing w:before="100" w:beforeAutospacing="1" w:after="100" w:afterAutospacing="1"/>
            </w:pPr>
          </w:p>
        </w:tc>
        <w:tc>
          <w:tcPr>
            <w:tcW w:w="5282" w:type="dxa"/>
            <w:tcBorders>
              <w:top w:val="single" w:sz="18" w:space="0" w:color="C0504D" w:themeColor="accent2"/>
              <w:left w:val="single" w:sz="18" w:space="0" w:color="C0504D" w:themeColor="accent2"/>
              <w:bottom w:val="single" w:sz="18" w:space="0" w:color="C0504D" w:themeColor="accent2"/>
              <w:right w:val="single" w:sz="18" w:space="0" w:color="C0504D" w:themeColor="accent2"/>
            </w:tcBorders>
            <w:shd w:val="clear" w:color="auto" w:fill="1F497D" w:themeFill="text2"/>
          </w:tcPr>
          <w:p w:rsidR="00AA7D47" w:rsidRDefault="00AA7D47" w:rsidP="00327531">
            <w:pPr>
              <w:spacing w:before="100" w:beforeAutospacing="1" w:after="100" w:afterAutospacing="1"/>
            </w:pPr>
          </w:p>
          <w:p w:rsidR="00AA7D47" w:rsidRDefault="00AA7D47" w:rsidP="00327531">
            <w:pPr>
              <w:spacing w:before="100" w:beforeAutospacing="1" w:after="100" w:afterAutospacing="1"/>
            </w:pPr>
          </w:p>
          <w:p w:rsidR="00AA7D47" w:rsidRDefault="00AA7D47" w:rsidP="00327531">
            <w:pPr>
              <w:spacing w:before="100" w:beforeAutospacing="1" w:after="100" w:afterAutospacing="1"/>
            </w:pPr>
          </w:p>
          <w:sdt>
            <w:sdtPr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  <w:alias w:val="Subject"/>
              <w:id w:val="4214857"/>
              <w:dataBinding w:prefixMappings="xmlns:ns0='http://schemas.microsoft.com/package/2005/06/metadata/core-properties' " w:xpath="/ns0:CoreProperties[1]/ns0:Subject[1]" w:storeItemID="{8046823C-BF7E-4DEE-B0EF-A36D059EDD71}"/>
              <w:text/>
            </w:sdtPr>
            <w:sdtContent>
              <w:p w:rsidR="00AA7D47" w:rsidRPr="00142FA6" w:rsidRDefault="00AA7D47" w:rsidP="00327531">
                <w:pPr>
                  <w:spacing w:after="0"/>
                  <w:ind w:right="175"/>
                  <w:jc w:val="right"/>
                  <w:rPr>
                    <w:rFonts w:ascii="Times New Roman" w:hAnsi="Times New Roman"/>
                    <w:b/>
                    <w:color w:val="FFFFFF" w:themeColor="background1"/>
                    <w:sz w:val="52"/>
                    <w:szCs w:val="52"/>
                  </w:rPr>
                </w:pP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Обосновывающие материалы к схеме теплоснабжения </w:t>
                </w:r>
                <w:r w:rsidR="00A95C8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города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</w:t>
                </w:r>
                <w:r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</w:t>
                </w:r>
                <w:r w:rsidR="00A95C8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>Королев</w:t>
                </w:r>
                <w:r w:rsidRPr="00142FA6">
                  <w:rPr>
                    <w:rFonts w:ascii="Times New Roman" w:hAnsi="Times New Roman"/>
                    <w:color w:val="FFFFFF" w:themeColor="background1"/>
                    <w:sz w:val="52"/>
                    <w:szCs w:val="52"/>
                  </w:rPr>
                  <w:t xml:space="preserve"> на период с 2013 до 2028 года</w:t>
                </w:r>
              </w:p>
            </w:sdtContent>
          </w:sdt>
          <w:p w:rsidR="00AA7D47" w:rsidRDefault="00AA7D47" w:rsidP="00327531">
            <w:pPr>
              <w:spacing w:before="100" w:beforeAutospacing="1" w:after="100" w:afterAutospacing="1"/>
            </w:pPr>
          </w:p>
          <w:p w:rsidR="00AA7D47" w:rsidRPr="00142FA6" w:rsidRDefault="00AA7D47" w:rsidP="00327531">
            <w:pPr>
              <w:spacing w:before="100" w:beforeAutospacing="1" w:after="100" w:afterAutospacing="1"/>
              <w:jc w:val="right"/>
              <w:rPr>
                <w:rFonts w:ascii="Times New Roman" w:hAnsi="Times New Roman"/>
                <w:color w:val="FFFFFF" w:themeColor="background1"/>
                <w:sz w:val="52"/>
                <w:szCs w:val="52"/>
              </w:rPr>
            </w:pPr>
          </w:p>
        </w:tc>
        <w:tc>
          <w:tcPr>
            <w:tcW w:w="2392" w:type="dxa"/>
            <w:tcBorders>
              <w:left w:val="single" w:sz="18" w:space="0" w:color="C0504D" w:themeColor="accent2"/>
            </w:tcBorders>
          </w:tcPr>
          <w:p w:rsidR="00AA7D47" w:rsidRDefault="00AA7D47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</w:tc>
      </w:tr>
      <w:tr w:rsidR="00AA7D47" w:rsidRPr="00A73EB3" w:rsidTr="00327531">
        <w:tc>
          <w:tcPr>
            <w:tcW w:w="6487" w:type="dxa"/>
            <w:gridSpan w:val="2"/>
          </w:tcPr>
          <w:p w:rsidR="00AA7D47" w:rsidRDefault="00AA7D47" w:rsidP="00327531">
            <w:pPr>
              <w:spacing w:before="100" w:beforeAutospacing="1" w:after="100" w:afterAutospacing="1"/>
              <w:jc w:val="right"/>
            </w:pPr>
          </w:p>
        </w:tc>
        <w:tc>
          <w:tcPr>
            <w:tcW w:w="2392" w:type="dxa"/>
          </w:tcPr>
          <w:p w:rsidR="00AA7D47" w:rsidRDefault="00AA7D47" w:rsidP="00327531">
            <w:pPr>
              <w:spacing w:before="100" w:beforeAutospacing="1" w:after="100" w:afterAutospacing="1"/>
            </w:pPr>
          </w:p>
        </w:tc>
      </w:tr>
      <w:tr w:rsidR="00AA7D47" w:rsidRPr="00A73EB3" w:rsidTr="00327531">
        <w:tc>
          <w:tcPr>
            <w:tcW w:w="6487" w:type="dxa"/>
            <w:gridSpan w:val="2"/>
            <w:tcBorders>
              <w:bottom w:val="single" w:sz="18" w:space="0" w:color="1F497D" w:themeColor="text2"/>
            </w:tcBorders>
          </w:tcPr>
          <w:p w:rsidR="00AA7D47" w:rsidRDefault="00AA7D47" w:rsidP="00327531">
            <w:pPr>
              <w:spacing w:before="100" w:beforeAutospacing="1" w:after="100" w:afterAutospacing="1"/>
              <w:jc w:val="right"/>
              <w:rPr>
                <w:color w:val="1F497D" w:themeColor="text2"/>
              </w:rPr>
            </w:pPr>
          </w:p>
        </w:tc>
        <w:tc>
          <w:tcPr>
            <w:tcW w:w="2392" w:type="dxa"/>
          </w:tcPr>
          <w:p w:rsidR="00AA7D47" w:rsidRDefault="00AA7D47" w:rsidP="00327531">
            <w:pPr>
              <w:spacing w:before="100" w:beforeAutospacing="1" w:after="100" w:afterAutospacing="1"/>
            </w:pPr>
          </w:p>
        </w:tc>
      </w:tr>
      <w:tr w:rsidR="00AA7D47" w:rsidRPr="00A73EB3" w:rsidTr="00327531">
        <w:tc>
          <w:tcPr>
            <w:tcW w:w="6487" w:type="dxa"/>
            <w:gridSpan w:val="2"/>
            <w:tcBorders>
              <w:top w:val="single" w:sz="18" w:space="0" w:color="1F497D" w:themeColor="text2"/>
              <w:left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sdt>
            <w:sdtPr>
              <w:rPr>
                <w:rFonts w:ascii="Times New Roman" w:hAnsi="Times New Roman"/>
                <w:color w:val="FFFFFF" w:themeColor="background1"/>
                <w:sz w:val="44"/>
                <w:szCs w:val="44"/>
              </w:rPr>
              <w:alias w:val="Title"/>
              <w:id w:val="4214858"/>
              <w:dataBinding w:prefixMappings="xmlns:ns0='http://schemas.microsoft.com/package/2005/06/metadata/core-properties' " w:xpath="/ns0:CoreProperties[1]/ns0:Title[1]" w:storeItemID="{8046823C-BF7E-4DEE-B0EF-A36D059EDD71}"/>
              <w:text/>
            </w:sdtPr>
            <w:sdtContent>
              <w:p w:rsidR="00AA7D47" w:rsidRPr="00142FA6" w:rsidRDefault="00AA7D47" w:rsidP="00327531">
                <w:pPr>
                  <w:spacing w:after="0"/>
                  <w:jc w:val="right"/>
                  <w:rPr>
                    <w:rFonts w:asciiTheme="majorHAnsi" w:hAnsiTheme="majorHAnsi"/>
                    <w:b/>
                    <w:color w:val="FFFFFF" w:themeColor="background1"/>
                    <w:sz w:val="48"/>
                    <w:szCs w:val="48"/>
                  </w:rPr>
                </w:pPr>
                <w:r w:rsidRPr="0085618B">
                  <w:rPr>
                    <w:rFonts w:ascii="Times New Roman" w:hAnsi="Times New Roman"/>
                    <w:color w:val="FFFFFF" w:themeColor="background1"/>
                    <w:sz w:val="44"/>
                    <w:szCs w:val="44"/>
                  </w:rPr>
                  <w:t xml:space="preserve">ГЛАВА 1 </w:t>
                </w:r>
              </w:p>
            </w:sdtContent>
          </w:sdt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AA7D47" w:rsidRDefault="00AA7D47" w:rsidP="00327531">
            <w:pPr>
              <w:spacing w:before="100" w:beforeAutospacing="1" w:after="100" w:afterAutospacing="1"/>
            </w:pPr>
          </w:p>
        </w:tc>
      </w:tr>
      <w:tr w:rsidR="00AA7D47" w:rsidRPr="00A73EB3" w:rsidTr="00327531">
        <w:tc>
          <w:tcPr>
            <w:tcW w:w="6487" w:type="dxa"/>
            <w:gridSpan w:val="2"/>
            <w:tcBorders>
              <w:left w:val="single" w:sz="18" w:space="0" w:color="1F497D" w:themeColor="text2"/>
              <w:bottom w:val="single" w:sz="18" w:space="0" w:color="1F497D" w:themeColor="text2"/>
              <w:right w:val="single" w:sz="18" w:space="0" w:color="1F497D" w:themeColor="text2"/>
            </w:tcBorders>
            <w:shd w:val="clear" w:color="auto" w:fill="C0504D" w:themeFill="accent2"/>
          </w:tcPr>
          <w:p w:rsidR="00AA7D47" w:rsidRPr="008A0ECB" w:rsidRDefault="00AA7D47" w:rsidP="00327531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  <w:r w:rsidRPr="008A0ECB"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  <w:p w:rsidR="00AA7D47" w:rsidRPr="008A0ECB" w:rsidRDefault="00AA7D47" w:rsidP="00327531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40"/>
                <w:szCs w:val="40"/>
              </w:rPr>
            </w:pPr>
          </w:p>
          <w:p w:rsidR="00AA7D47" w:rsidRPr="00576C7C" w:rsidRDefault="00AE7CBA" w:rsidP="00327531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ЧАСТЬ 9</w:t>
            </w:r>
          </w:p>
          <w:p w:rsidR="00AA7D47" w:rsidRPr="00576C7C" w:rsidRDefault="00AA7D47" w:rsidP="00327531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36"/>
                <w:szCs w:val="36"/>
              </w:rPr>
              <w:t>Надежность теплоснабжения</w:t>
            </w:r>
          </w:p>
        </w:tc>
        <w:tc>
          <w:tcPr>
            <w:tcW w:w="2392" w:type="dxa"/>
            <w:tcBorders>
              <w:left w:val="single" w:sz="18" w:space="0" w:color="1F497D" w:themeColor="text2"/>
            </w:tcBorders>
          </w:tcPr>
          <w:p w:rsidR="00AA7D47" w:rsidRDefault="00AA7D47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  <w:p w:rsidR="00A95C86" w:rsidRDefault="00A95C86" w:rsidP="00327531">
            <w:pPr>
              <w:spacing w:before="100" w:beforeAutospacing="1" w:after="100" w:afterAutospacing="1"/>
            </w:pPr>
          </w:p>
        </w:tc>
      </w:tr>
    </w:tbl>
    <w:sdt>
      <w:sdtP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  <w:id w:val="85939344"/>
        <w:docPartObj>
          <w:docPartGallery w:val="Cover Pages"/>
          <w:docPartUnique/>
        </w:docPartObj>
      </w:sdtPr>
      <w:sdtContent>
        <w:p w:rsidR="00B326CE" w:rsidRPr="00AA7D47" w:rsidRDefault="00B326CE" w:rsidP="00AA7D47">
          <w:pPr>
            <w:spacing w:after="0"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AA7D47">
            <w:rPr>
              <w:rFonts w:ascii="Times New Roman" w:hAnsi="Times New Roman" w:cs="Times New Roman"/>
              <w:sz w:val="28"/>
              <w:szCs w:val="28"/>
            </w:rPr>
            <w:t xml:space="preserve">                                                                         </w:t>
          </w:r>
        </w:p>
        <w:p w:rsidR="005A658A" w:rsidRPr="00AA7D47" w:rsidRDefault="005A658A" w:rsidP="00AA7D47">
          <w:pPr>
            <w:spacing w:after="0" w:line="360" w:lineRule="auto"/>
            <w:ind w:right="176"/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:rsidR="005A658A" w:rsidRPr="00AA7D47" w:rsidRDefault="005A658A" w:rsidP="00AA7D47">
          <w:pPr>
            <w:spacing w:after="0" w:line="360" w:lineRule="auto"/>
            <w:ind w:right="176"/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:rsidR="005A658A" w:rsidRPr="00AA7D47" w:rsidRDefault="005A658A" w:rsidP="00AA7D47">
          <w:pPr>
            <w:spacing w:after="0" w:line="360" w:lineRule="auto"/>
            <w:ind w:right="176"/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sdt>
          <w:sdtPr>
            <w:rPr>
              <w:rFonts w:ascii="Times New Roman" w:hAnsi="Times New Roman" w:cs="Times New Roman"/>
              <w:sz w:val="28"/>
              <w:szCs w:val="28"/>
            </w:rPr>
            <w:id w:val="7550218"/>
            <w:docPartObj>
              <w:docPartGallery w:val="Table of Contents"/>
              <w:docPartUnique/>
            </w:docPartObj>
          </w:sdtPr>
          <w:sdtContent>
            <w:p w:rsidR="00AB1600" w:rsidRPr="00503538" w:rsidRDefault="00AB1600" w:rsidP="00503538">
              <w:pPr>
                <w:spacing w:after="0" w:line="360" w:lineRule="auto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503538">
                <w:rPr>
                  <w:rFonts w:ascii="Times New Roman" w:hAnsi="Times New Roman" w:cs="Times New Roman"/>
                  <w:b/>
                  <w:sz w:val="28"/>
                  <w:szCs w:val="28"/>
                </w:rPr>
                <w:t>Оглавление</w:t>
              </w:r>
            </w:p>
            <w:p w:rsidR="00503538" w:rsidRPr="00503538" w:rsidRDefault="00BC62B4" w:rsidP="00503538">
              <w:pPr>
                <w:pStyle w:val="11"/>
                <w:tabs>
                  <w:tab w:val="left" w:pos="440"/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r w:rsidRPr="00503538">
                <w:rPr>
                  <w:rFonts w:ascii="Times New Roman" w:hAnsi="Times New Roman" w:cs="Times New Roman"/>
                  <w:sz w:val="28"/>
                  <w:szCs w:val="28"/>
                </w:rPr>
                <w:fldChar w:fldCharType="begin"/>
              </w:r>
              <w:r w:rsidR="00AB1600" w:rsidRPr="00503538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\o "1-3" \h \z \u </w:instrText>
              </w:r>
              <w:r w:rsidRPr="00503538">
                <w:rPr>
                  <w:rFonts w:ascii="Times New Roman" w:hAnsi="Times New Roman" w:cs="Times New Roman"/>
                  <w:sz w:val="28"/>
                  <w:szCs w:val="28"/>
                </w:rPr>
                <w:fldChar w:fldCharType="separate"/>
              </w:r>
              <w:hyperlink w:anchor="_Toc372299599" w:history="1">
                <w:r w:rsidR="00503538" w:rsidRPr="00503538">
                  <w:rPr>
                    <w:rStyle w:val="ac"/>
                    <w:rFonts w:ascii="Times New Roman" w:eastAsia="Arial-BoldMT" w:hAnsi="Times New Roman" w:cs="Times New Roman"/>
                    <w:noProof/>
                    <w:sz w:val="28"/>
                    <w:szCs w:val="28"/>
                  </w:rPr>
                  <w:t>1.</w:t>
                </w:r>
                <w:r w:rsidR="00503538" w:rsidRPr="00503538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503538" w:rsidRPr="00503538">
                  <w:rPr>
                    <w:rStyle w:val="ac"/>
                    <w:rFonts w:ascii="Times New Roman" w:eastAsia="Arial-BoldMT" w:hAnsi="Times New Roman" w:cs="Times New Roman"/>
                    <w:noProof/>
                    <w:sz w:val="28"/>
                    <w:szCs w:val="28"/>
                  </w:rPr>
                  <w:t xml:space="preserve">Основные положения оценки надежности систем теплоснабжения </w:t>
                </w:r>
                <w:r w:rsidR="00503538"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503538"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_Toc372299599 \h </w:instrText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0F5B11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503538" w:rsidRPr="00503538" w:rsidRDefault="00BC62B4" w:rsidP="00503538">
              <w:pPr>
                <w:pStyle w:val="11"/>
                <w:tabs>
                  <w:tab w:val="left" w:pos="440"/>
                  <w:tab w:val="right" w:leader="dot" w:pos="9345"/>
                </w:tabs>
                <w:spacing w:line="360" w:lineRule="auto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372299600" w:history="1">
                <w:r w:rsidR="00503538" w:rsidRPr="00503538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2.</w:t>
                </w:r>
                <w:r w:rsidR="00503538" w:rsidRPr="00503538">
                  <w:rPr>
                    <w:rFonts w:ascii="Times New Roman" w:eastAsiaTheme="minorEastAsia" w:hAnsi="Times New Roman" w:cs="Times New Roman"/>
                    <w:noProof/>
                    <w:sz w:val="28"/>
                    <w:szCs w:val="28"/>
                    <w:lang w:eastAsia="ru-RU"/>
                  </w:rPr>
                  <w:tab/>
                </w:r>
                <w:r w:rsidR="00503538" w:rsidRPr="00503538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Расчет надежности теплоснабжения для участков тепловой сети</w:t>
                </w:r>
                <w:r w:rsidR="00503538"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503538"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_Toc372299600 \h </w:instrText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0F5B11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5</w:t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503538" w:rsidRPr="00503538" w:rsidRDefault="00BC62B4" w:rsidP="00503538">
              <w:pPr>
                <w:pStyle w:val="23"/>
                <w:tabs>
                  <w:tab w:val="left" w:pos="880"/>
                  <w:tab w:val="right" w:leader="dot" w:pos="9345"/>
                </w:tabs>
                <w:spacing w:line="360" w:lineRule="auto"/>
                <w:rPr>
                  <w:rFonts w:ascii="Times New Roman" w:hAnsi="Times New Roman" w:cs="Times New Roman"/>
                  <w:noProof/>
                  <w:sz w:val="28"/>
                  <w:szCs w:val="28"/>
                </w:rPr>
              </w:pPr>
              <w:hyperlink w:anchor="_Toc372299601" w:history="1">
                <w:r w:rsidR="00503538" w:rsidRPr="00503538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2. 1.</w:t>
                </w:r>
                <w:r w:rsidR="00503538" w:rsidRPr="00503538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ab/>
                </w:r>
                <w:r w:rsidR="00503538" w:rsidRPr="00503538">
                  <w:rPr>
                    <w:rStyle w:val="ac"/>
                    <w:rFonts w:ascii="Times New Roman" w:hAnsi="Times New Roman" w:cs="Times New Roman"/>
                    <w:noProof/>
                    <w:sz w:val="28"/>
                    <w:szCs w:val="28"/>
                  </w:rPr>
                  <w:t>Вероятности безотказной работы магистральных теплопроводов тепловой сети</w:t>
                </w:r>
                <w:r w:rsidR="00503538"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ab/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503538"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_Toc372299601 \h </w:instrText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0F5B11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6</w:t>
                </w:r>
                <w:r w:rsidRPr="00503538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AB1600" w:rsidRPr="00AA7D47" w:rsidRDefault="00BC62B4" w:rsidP="00503538">
              <w:pPr>
                <w:spacing w:after="0" w:line="360" w:lineRule="auto"/>
                <w:jc w:val="both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503538">
                <w:rPr>
                  <w:rFonts w:ascii="Times New Roman" w:hAnsi="Times New Roman" w:cs="Times New Roman"/>
                  <w:sz w:val="28"/>
                  <w:szCs w:val="28"/>
                </w:rPr>
                <w:fldChar w:fldCharType="end"/>
              </w:r>
            </w:p>
          </w:sdtContent>
        </w:sdt>
        <w:p w:rsidR="00B326CE" w:rsidRPr="00AA7D47" w:rsidRDefault="00B326CE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327531" w:rsidRDefault="00327531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503538" w:rsidRDefault="00503538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E64A7D" w:rsidRDefault="00E64A7D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503538" w:rsidRPr="00AA7D47" w:rsidRDefault="00503538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AB1600" w:rsidRPr="00AA7D47" w:rsidRDefault="00AB1600" w:rsidP="00AA7D47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B326CE" w:rsidRPr="00AA7D47" w:rsidRDefault="00B326CE" w:rsidP="00AA7D47">
          <w:pPr>
            <w:pStyle w:val="1"/>
            <w:numPr>
              <w:ilvl w:val="0"/>
              <w:numId w:val="1"/>
            </w:numPr>
            <w:spacing w:before="0" w:line="360" w:lineRule="auto"/>
            <w:ind w:left="714" w:hanging="357"/>
            <w:rPr>
              <w:rFonts w:ascii="Times New Roman" w:eastAsia="Arial-BoldMT" w:hAnsi="Times New Roman" w:cs="Times New Roman"/>
              <w:color w:val="auto"/>
            </w:rPr>
          </w:pPr>
          <w:bookmarkStart w:id="0" w:name="_Toc372299599"/>
          <w:r w:rsidRPr="00AA7D47">
            <w:rPr>
              <w:rFonts w:ascii="Times New Roman" w:eastAsia="Arial-BoldMT" w:hAnsi="Times New Roman" w:cs="Times New Roman"/>
              <w:color w:val="auto"/>
            </w:rPr>
            <w:lastRenderedPageBreak/>
            <w:t xml:space="preserve">Основные положения оценки надежности систем теплоснабжения </w:t>
          </w:r>
        </w:p>
      </w:sdtContent>
    </w:sdt>
    <w:bookmarkEnd w:id="0" w:displacedByCustomXml="prev"/>
    <w:p w:rsidR="00466410" w:rsidRPr="00AA7D47" w:rsidRDefault="00466410" w:rsidP="00AA7D4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 xml:space="preserve">Способность источников теплоты, тепловых сетей и в целом СЦТ обеспечивать в течение заданного времени требуемые режимы, параметры и качество теплоснабжения (отопления, вентиляции, горячего водоснабжения, а также технологических потребностей предприятий в паре и горячей воде) </w:t>
      </w:r>
      <w:r w:rsidR="00F26850" w:rsidRPr="00AA7D47">
        <w:rPr>
          <w:rFonts w:ascii="Times New Roman" w:hAnsi="Times New Roman" w:cs="Times New Roman"/>
          <w:sz w:val="28"/>
          <w:szCs w:val="28"/>
        </w:rPr>
        <w:t>определяется</w:t>
      </w:r>
      <w:r w:rsidRPr="00AA7D47">
        <w:rPr>
          <w:rFonts w:ascii="Times New Roman" w:hAnsi="Times New Roman" w:cs="Times New Roman"/>
          <w:sz w:val="28"/>
          <w:szCs w:val="28"/>
        </w:rPr>
        <w:t xml:space="preserve"> по трем показателям (критериям): вероятности безотказной работы [</w:t>
      </w:r>
      <w:proofErr w:type="gramStart"/>
      <w:r w:rsidRPr="00AA7D4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A7D47">
        <w:rPr>
          <w:rFonts w:ascii="Times New Roman" w:hAnsi="Times New Roman" w:cs="Times New Roman"/>
          <w:sz w:val="28"/>
          <w:szCs w:val="28"/>
        </w:rPr>
        <w:t>], коэффициенту готовности [</w:t>
      </w:r>
      <w:r w:rsidRPr="00AA7D47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00025" cy="22860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47">
        <w:rPr>
          <w:rFonts w:ascii="Times New Roman" w:hAnsi="Times New Roman" w:cs="Times New Roman"/>
          <w:sz w:val="28"/>
          <w:szCs w:val="28"/>
        </w:rPr>
        <w:t>], живучести [Ж].</w:t>
      </w: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 xml:space="preserve">Минимально допустимые показатели вероятности безотказной работы следует принимать </w:t>
      </w:r>
      <w:proofErr w:type="gramStart"/>
      <w:r w:rsidRPr="00AA7D4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A7D47">
        <w:rPr>
          <w:rFonts w:ascii="Times New Roman" w:hAnsi="Times New Roman" w:cs="Times New Roman"/>
          <w:sz w:val="28"/>
          <w:szCs w:val="28"/>
        </w:rPr>
        <w:t>:</w:t>
      </w: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 xml:space="preserve">источника теплоты </w:t>
      </w:r>
      <w:r w:rsidRPr="00AA7D47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28600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47">
        <w:rPr>
          <w:rFonts w:ascii="Times New Roman" w:hAnsi="Times New Roman" w:cs="Times New Roman"/>
          <w:sz w:val="28"/>
          <w:szCs w:val="28"/>
        </w:rPr>
        <w:t xml:space="preserve"> = 0,97;</w:t>
      </w: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 xml:space="preserve">тепловых сетей </w:t>
      </w:r>
      <w:r w:rsidRPr="00AA7D47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28600"/>
            <wp:effectExtent l="1905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47">
        <w:rPr>
          <w:rFonts w:ascii="Times New Roman" w:hAnsi="Times New Roman" w:cs="Times New Roman"/>
          <w:sz w:val="28"/>
          <w:szCs w:val="28"/>
        </w:rPr>
        <w:t xml:space="preserve"> = 0,9;</w:t>
      </w: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 xml:space="preserve">потребителя теплоты </w:t>
      </w:r>
      <w:r w:rsidRPr="00AA7D47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28600" cy="228600"/>
            <wp:effectExtent l="19050" t="0" r="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47">
        <w:rPr>
          <w:rFonts w:ascii="Times New Roman" w:hAnsi="Times New Roman" w:cs="Times New Roman"/>
          <w:sz w:val="28"/>
          <w:szCs w:val="28"/>
        </w:rPr>
        <w:t xml:space="preserve"> = 0,99;</w:t>
      </w: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 xml:space="preserve">СЦТ в целом </w:t>
      </w:r>
      <w:r w:rsidRPr="00AA7D47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743075" cy="228600"/>
            <wp:effectExtent l="0" t="0" r="952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47">
        <w:rPr>
          <w:rFonts w:ascii="Times New Roman" w:hAnsi="Times New Roman" w:cs="Times New Roman"/>
          <w:sz w:val="28"/>
          <w:szCs w:val="28"/>
        </w:rPr>
        <w:t>.</w:t>
      </w: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Для обеспечения безотказности тепловых сетей следует определять:</w:t>
      </w:r>
    </w:p>
    <w:p w:rsidR="00466410" w:rsidRPr="00AA7D47" w:rsidRDefault="00466410" w:rsidP="00AA7D47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предельно допустимую длину нерезервированных участков теплопроводов (тупиковых, радиальных, транзитных) до каждого потребителя или теплового пункта;</w:t>
      </w:r>
    </w:p>
    <w:p w:rsidR="00466410" w:rsidRPr="00AA7D47" w:rsidRDefault="00466410" w:rsidP="00AA7D47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места размещения резервных трубопроводных связей между радиальными теплопроводами;</w:t>
      </w:r>
    </w:p>
    <w:p w:rsidR="00466410" w:rsidRPr="00AA7D47" w:rsidRDefault="00466410" w:rsidP="00AA7D47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достаточность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отказах;</w:t>
      </w:r>
    </w:p>
    <w:p w:rsidR="00466410" w:rsidRPr="00AA7D47" w:rsidRDefault="00466410" w:rsidP="00AA7D47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7D47">
        <w:rPr>
          <w:rFonts w:ascii="Times New Roman" w:hAnsi="Times New Roman" w:cs="Times New Roman"/>
          <w:sz w:val="28"/>
          <w:szCs w:val="28"/>
        </w:rPr>
        <w:t>необходимость замены на конкретных участках конструкций тепловых сетей и теплопроводов на более надежные, а также обоснованность перехода на надземную или тоннельную прокладку;</w:t>
      </w:r>
      <w:proofErr w:type="gramEnd"/>
    </w:p>
    <w:p w:rsidR="00466410" w:rsidRPr="00AA7D47" w:rsidRDefault="00466410" w:rsidP="00AA7D47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очередность ремонтов и замен теплопроводов, частично или полностью утративших свой ресурс;</w:t>
      </w:r>
    </w:p>
    <w:p w:rsidR="00466410" w:rsidRPr="00AA7D47" w:rsidRDefault="00466410" w:rsidP="00AA7D47">
      <w:pPr>
        <w:pStyle w:val="a9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lastRenderedPageBreak/>
        <w:t>необходимость проведения работ по дополнительному утеплению зданий.</w:t>
      </w: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Готовность системы к исправной работе следует определять по числу часов ожидания готовности: источника теплоты, тепловых сетей, потребителей теплоты, а также - числу часов нерасчетных температур наружного воздуха в данной местности.</w:t>
      </w: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 xml:space="preserve"> Минимально допустимый показатель готовности СЦТ к исправной работе</w:t>
      </w:r>
      <w:proofErr w:type="gramStart"/>
      <w:r w:rsidRPr="00AA7D4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5A658A" w:rsidRPr="00AA7D47">
        <w:rPr>
          <w:rFonts w:ascii="Times New Roman" w:hAnsi="Times New Roman" w:cs="Times New Roman"/>
          <w:sz w:val="28"/>
          <w:szCs w:val="28"/>
        </w:rPr>
        <w:t xml:space="preserve"> </w:t>
      </w:r>
      <w:r w:rsidRPr="00AA7D47">
        <w:rPr>
          <w:rFonts w:ascii="Times New Roman" w:hAnsi="Times New Roman" w:cs="Times New Roman"/>
          <w:sz w:val="28"/>
          <w:szCs w:val="28"/>
        </w:rPr>
        <w:t>принимается 0,97.</w:t>
      </w:r>
    </w:p>
    <w:p w:rsidR="00466410" w:rsidRPr="00AA7D47" w:rsidRDefault="00466410" w:rsidP="00AA7D4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Для расчета показателя готовности следует определять (учитывать):</w:t>
      </w:r>
    </w:p>
    <w:p w:rsidR="00466410" w:rsidRPr="00AA7D47" w:rsidRDefault="00466410" w:rsidP="00AA7D47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готовность СЦТ к отопительному сезону;</w:t>
      </w:r>
    </w:p>
    <w:p w:rsidR="00466410" w:rsidRPr="00AA7D47" w:rsidRDefault="00466410" w:rsidP="00AA7D47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достаточность установленной тепловой мощности источника теплоты для обеспечения исправного функционирования СЦТ при нерасчетных похолоданиях;</w:t>
      </w:r>
    </w:p>
    <w:p w:rsidR="00466410" w:rsidRPr="00AA7D47" w:rsidRDefault="00466410" w:rsidP="00AA7D47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способность тепловых сетей обеспечить исправное функционирование СЦТ при нерасчетных похолоданиях;</w:t>
      </w:r>
    </w:p>
    <w:p w:rsidR="00466410" w:rsidRPr="00AA7D47" w:rsidRDefault="00466410" w:rsidP="00AA7D47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организационные и технические меры, необходимые для обеспечения исправного функционирования СЦТ на уровне заданной готовности;</w:t>
      </w:r>
    </w:p>
    <w:p w:rsidR="00466410" w:rsidRPr="00AA7D47" w:rsidRDefault="00466410" w:rsidP="00AA7D47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максимально допустимое число часов готовности для источника теплоты;</w:t>
      </w:r>
    </w:p>
    <w:p w:rsidR="00466410" w:rsidRPr="00AA7D47" w:rsidRDefault="00466410" w:rsidP="00AA7D47">
      <w:pPr>
        <w:pStyle w:val="a9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A7D47">
        <w:rPr>
          <w:rFonts w:ascii="Times New Roman" w:hAnsi="Times New Roman" w:cs="Times New Roman"/>
          <w:sz w:val="28"/>
          <w:szCs w:val="28"/>
        </w:rPr>
        <w:t>температуру наружного воздуха, при которой обеспечивается заданная внутренняя температура воздуха.</w:t>
      </w:r>
    </w:p>
    <w:p w:rsidR="001307FC" w:rsidRPr="001307FC" w:rsidRDefault="001307FC" w:rsidP="001307FC">
      <w:pPr>
        <w:pStyle w:val="Default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7FC">
        <w:rPr>
          <w:rFonts w:ascii="Times New Roman" w:hAnsi="Times New Roman" w:cs="Times New Roman"/>
          <w:sz w:val="28"/>
          <w:szCs w:val="28"/>
        </w:rPr>
        <w:t xml:space="preserve">Потребители теплоты по надежности теплоснабжения делятся на три категории: </w:t>
      </w:r>
    </w:p>
    <w:p w:rsidR="001307FC" w:rsidRPr="001307FC" w:rsidRDefault="001307FC" w:rsidP="001307FC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7FC">
        <w:rPr>
          <w:rFonts w:ascii="Times New Roman" w:hAnsi="Times New Roman" w:cs="Times New Roman"/>
          <w:bCs/>
          <w:i/>
          <w:sz w:val="28"/>
          <w:szCs w:val="28"/>
        </w:rPr>
        <w:t>Первая категория</w:t>
      </w:r>
      <w:r w:rsidRPr="001307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07F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1307FC">
        <w:rPr>
          <w:rFonts w:ascii="Times New Roman" w:hAnsi="Times New Roman" w:cs="Times New Roman"/>
          <w:sz w:val="28"/>
          <w:szCs w:val="28"/>
        </w:rPr>
        <w:t xml:space="preserve">потребители, не допускающие перерывов в подаче расчетного количества теплоты и снижения температуры воздуха в помещениях ниже предусмотренных ГОСТ 30494. Например, больницы, родильные дома, детские дошкольные учреждения с круглосуточным пребыванием детей, картинные галереи, химические и специальные производства, шахты и т.п. </w:t>
      </w:r>
    </w:p>
    <w:p w:rsidR="001307FC" w:rsidRPr="001307FC" w:rsidRDefault="001307FC" w:rsidP="001307FC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7FC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Вторая категория </w:t>
      </w:r>
      <w:r w:rsidRPr="001307FC">
        <w:rPr>
          <w:rFonts w:ascii="Times New Roman" w:hAnsi="Times New Roman" w:cs="Times New Roman"/>
          <w:i/>
          <w:sz w:val="28"/>
          <w:szCs w:val="28"/>
        </w:rPr>
        <w:t>-</w:t>
      </w:r>
      <w:r w:rsidRPr="001307FC">
        <w:rPr>
          <w:rFonts w:ascii="Times New Roman" w:hAnsi="Times New Roman" w:cs="Times New Roman"/>
          <w:sz w:val="28"/>
          <w:szCs w:val="28"/>
        </w:rPr>
        <w:t xml:space="preserve"> потребители, допускающие снижение температуры в отапливаемых помещениях на период ликвидации аварии, но не более 54 ч: </w:t>
      </w:r>
    </w:p>
    <w:p w:rsidR="001307FC" w:rsidRPr="001307FC" w:rsidRDefault="001307FC" w:rsidP="001307FC">
      <w:pPr>
        <w:pStyle w:val="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7FC">
        <w:rPr>
          <w:rFonts w:ascii="Times New Roman" w:hAnsi="Times New Roman" w:cs="Times New Roman"/>
          <w:sz w:val="28"/>
          <w:szCs w:val="28"/>
        </w:rPr>
        <w:t>жилых и общественных зданий до 12</w:t>
      </w:r>
      <w:proofErr w:type="gramStart"/>
      <w:r w:rsidRPr="001307FC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1307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307FC" w:rsidRDefault="001307FC" w:rsidP="001307FC">
      <w:pPr>
        <w:pStyle w:val="Defaul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7FC">
        <w:rPr>
          <w:rFonts w:ascii="Times New Roman" w:hAnsi="Times New Roman" w:cs="Times New Roman"/>
          <w:sz w:val="28"/>
          <w:szCs w:val="28"/>
        </w:rPr>
        <w:t xml:space="preserve">промышленных зданий до 8 °С. </w:t>
      </w:r>
    </w:p>
    <w:p w:rsidR="00652908" w:rsidRPr="001307FC" w:rsidRDefault="00652908" w:rsidP="00652908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67594" w:rsidRDefault="00652908" w:rsidP="00652908">
      <w:pPr>
        <w:pStyle w:val="1"/>
        <w:numPr>
          <w:ilvl w:val="0"/>
          <w:numId w:val="1"/>
        </w:numPr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" w:name="_Toc372299600"/>
      <w:r w:rsidRPr="00652908">
        <w:rPr>
          <w:rFonts w:ascii="Times New Roman" w:hAnsi="Times New Roman" w:cs="Times New Roman"/>
          <w:color w:val="auto"/>
        </w:rPr>
        <w:t>Расчет надежности теплоснабжения для участков тепловой сети</w:t>
      </w:r>
      <w:bookmarkEnd w:id="1"/>
    </w:p>
    <w:p w:rsidR="00652908" w:rsidRDefault="00652908" w:rsidP="00652908"/>
    <w:p w:rsidR="00652908" w:rsidRDefault="00652908" w:rsidP="00726D5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652908">
        <w:rPr>
          <w:rFonts w:ascii="Times New Roman" w:hAnsi="Times New Roman" w:cs="Times New Roman"/>
          <w:sz w:val="28"/>
          <w:szCs w:val="28"/>
        </w:rPr>
        <w:t xml:space="preserve">Методика расчета </w:t>
      </w:r>
      <w:r w:rsidRPr="005C025A">
        <w:rPr>
          <w:rFonts w:ascii="Times New Roman" w:eastAsia="Times New Roman" w:hAnsi="Times New Roman" w:cs="Times New Roman"/>
          <w:spacing w:val="10"/>
          <w:sz w:val="28"/>
          <w:szCs w:val="28"/>
        </w:rPr>
        <w:t>вероятности безотказной работы тепловой сети по отношению к потребителям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изложена в Главе 9 Обосновывающих материалов. </w:t>
      </w:r>
    </w:p>
    <w:p w:rsidR="00652908" w:rsidRPr="00652908" w:rsidRDefault="00652908" w:rsidP="00652908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908">
        <w:rPr>
          <w:rFonts w:ascii="Times New Roman" w:hAnsi="Times New Roman" w:cs="Times New Roman"/>
          <w:sz w:val="28"/>
          <w:szCs w:val="28"/>
        </w:rPr>
        <w:t xml:space="preserve">Алгоритм </w:t>
      </w:r>
      <w:proofErr w:type="gramStart"/>
      <w:r w:rsidRPr="00652908">
        <w:rPr>
          <w:rFonts w:ascii="Times New Roman" w:hAnsi="Times New Roman" w:cs="Times New Roman"/>
          <w:sz w:val="28"/>
          <w:szCs w:val="28"/>
        </w:rPr>
        <w:t>решения задачи расчета надежности тепловых сетей</w:t>
      </w:r>
      <w:proofErr w:type="gramEnd"/>
      <w:r w:rsidRPr="00652908">
        <w:rPr>
          <w:rFonts w:ascii="Times New Roman" w:hAnsi="Times New Roman" w:cs="Times New Roman"/>
          <w:sz w:val="28"/>
          <w:szCs w:val="28"/>
        </w:rPr>
        <w:t xml:space="preserve"> сводится к следующим шагам и вычислениям. </w:t>
      </w:r>
    </w:p>
    <w:p w:rsidR="00652908" w:rsidRPr="00652908" w:rsidRDefault="00652908" w:rsidP="00652908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908">
        <w:rPr>
          <w:rFonts w:ascii="Times New Roman" w:hAnsi="Times New Roman" w:cs="Times New Roman"/>
          <w:sz w:val="28"/>
          <w:szCs w:val="28"/>
        </w:rPr>
        <w:t>Шаг 1. Выделяется потребитель</w:t>
      </w:r>
      <w:r>
        <w:rPr>
          <w:rFonts w:ascii="Times New Roman" w:hAnsi="Times New Roman" w:cs="Times New Roman"/>
          <w:sz w:val="28"/>
          <w:szCs w:val="28"/>
        </w:rPr>
        <w:t xml:space="preserve"> или распределительный узел</w:t>
      </w:r>
      <w:r w:rsidRPr="00652908">
        <w:rPr>
          <w:rFonts w:ascii="Times New Roman" w:hAnsi="Times New Roman" w:cs="Times New Roman"/>
          <w:sz w:val="28"/>
          <w:szCs w:val="28"/>
        </w:rPr>
        <w:t>, относительно которого выполняется расчет надежности вероятности бе</w:t>
      </w:r>
      <w:r w:rsidR="00726D53">
        <w:rPr>
          <w:rFonts w:ascii="Times New Roman" w:hAnsi="Times New Roman" w:cs="Times New Roman"/>
          <w:sz w:val="28"/>
          <w:szCs w:val="28"/>
        </w:rPr>
        <w:t>зотказной работы теплоснабжения;</w:t>
      </w:r>
    </w:p>
    <w:p w:rsidR="00652908" w:rsidRPr="00652908" w:rsidRDefault="00652908" w:rsidP="00726D53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908">
        <w:rPr>
          <w:rFonts w:ascii="Times New Roman" w:hAnsi="Times New Roman" w:cs="Times New Roman"/>
          <w:sz w:val="28"/>
          <w:szCs w:val="28"/>
        </w:rPr>
        <w:t xml:space="preserve">Шаг 2 . Выполняется структурный анализ тепловой сети, позволяющий выделить все пути, по которым можно осуществить передачу теплоносителя от источника до выделенного потребителя. В некоторых специализированных программных комплексах (например, </w:t>
      </w:r>
      <w:r w:rsidR="00726D53">
        <w:rPr>
          <w:rFonts w:ascii="Times New Roman" w:hAnsi="Times New Roman" w:cs="Times New Roman"/>
          <w:sz w:val="28"/>
          <w:szCs w:val="28"/>
        </w:rPr>
        <w:t>«ТеплоЭксперт»</w:t>
      </w:r>
      <w:r w:rsidRPr="00652908">
        <w:rPr>
          <w:rFonts w:ascii="Times New Roman" w:hAnsi="Times New Roman" w:cs="Times New Roman"/>
          <w:sz w:val="28"/>
          <w:szCs w:val="28"/>
        </w:rPr>
        <w:t xml:space="preserve">) эта процедура осуществляется автоматически, что значительно сокращает время на структурный анализ тепловой сети. </w:t>
      </w:r>
    </w:p>
    <w:p w:rsidR="00652908" w:rsidRPr="00652908" w:rsidRDefault="00652908" w:rsidP="00726D53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908">
        <w:rPr>
          <w:rFonts w:ascii="Times New Roman" w:hAnsi="Times New Roman" w:cs="Times New Roman"/>
          <w:sz w:val="28"/>
          <w:szCs w:val="28"/>
        </w:rPr>
        <w:t xml:space="preserve">Шаг 3. Составляется эквивалентная схема путей для расчета надежности теплоснабжения. Она будет состоять из последовательных участков тепловой сети. </w:t>
      </w:r>
    </w:p>
    <w:p w:rsidR="00652908" w:rsidRDefault="00652908" w:rsidP="0065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2908">
        <w:rPr>
          <w:rFonts w:ascii="Times New Roman" w:hAnsi="Times New Roman" w:cs="Times New Roman"/>
          <w:sz w:val="28"/>
          <w:szCs w:val="28"/>
        </w:rPr>
        <w:t xml:space="preserve">Шаг 4. Для всех последовательных участков пути, рассчитывается их вероятность безотказной работы, в соответствии с методом, приведенным в </w:t>
      </w:r>
      <w:r w:rsidR="00726D53">
        <w:rPr>
          <w:rFonts w:ascii="Times New Roman" w:hAnsi="Times New Roman" w:cs="Times New Roman"/>
          <w:sz w:val="28"/>
          <w:szCs w:val="28"/>
        </w:rPr>
        <w:t>Главе 9 Обосновывающих материалов.</w:t>
      </w:r>
      <w:r w:rsidRPr="00652908">
        <w:rPr>
          <w:rFonts w:ascii="Times New Roman" w:hAnsi="Times New Roman" w:cs="Times New Roman"/>
          <w:sz w:val="28"/>
          <w:szCs w:val="28"/>
        </w:rPr>
        <w:t xml:space="preserve"> По результатам расчетов определяются:</w:t>
      </w:r>
    </w:p>
    <w:p w:rsidR="00AF6F6A" w:rsidRDefault="00AF6F6A" w:rsidP="0065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6F6A" w:rsidRDefault="00AF6F6A" w:rsidP="0065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0EA5" w:rsidRDefault="00610EA5" w:rsidP="0065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вероятность безотказной работы всей тепловой сети</w:t>
      </w:r>
    </w:p>
    <w:p w:rsidR="00610EA5" w:rsidRDefault="00610EA5" w:rsidP="0065290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р=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:rsidR="00610EA5" w:rsidRDefault="00610EA5" w:rsidP="0065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вероятность безотказной работы каждого участка</w:t>
      </w:r>
    </w:p>
    <w:p w:rsidR="00610EA5" w:rsidRDefault="00BC62B4" w:rsidP="0065290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exp⁡</m:t>
          </m:r>
          <m:r>
            <w:rPr>
              <w:rFonts w:ascii="Cambria Math" w:hAnsi="Cambria Math" w:cs="Times New Roman"/>
              <w:sz w:val="28"/>
              <w:szCs w:val="28"/>
            </w:rPr>
            <m:t>(-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610EA5" w:rsidRDefault="00610EA5" w:rsidP="0065290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параметр потока отказов каждого участка</w:t>
      </w:r>
    </w:p>
    <w:p w:rsidR="00610EA5" w:rsidRDefault="00BC62B4" w:rsidP="0065290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ω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λ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j=1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j=N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nary>
        </m:oMath>
      </m:oMathPara>
    </w:p>
    <w:p w:rsidR="00610EA5" w:rsidRDefault="00610EA5" w:rsidP="0065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ШАГ 5. Определяется показатель безотказной работы всей системы и сравнивается с нормативным показателем.</w:t>
      </w:r>
    </w:p>
    <w:p w:rsidR="00610EA5" w:rsidRDefault="00610EA5" w:rsidP="0065290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58DF" w:rsidRPr="009058DF" w:rsidRDefault="00AB4B94" w:rsidP="009058DF">
      <w:pPr>
        <w:pStyle w:val="2"/>
        <w:numPr>
          <w:ilvl w:val="0"/>
          <w:numId w:val="14"/>
        </w:numPr>
        <w:spacing w:before="0" w:line="360" w:lineRule="auto"/>
        <w:ind w:left="714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372299601"/>
      <w:r>
        <w:rPr>
          <w:rFonts w:ascii="Times New Roman" w:hAnsi="Times New Roman" w:cs="Times New Roman"/>
          <w:color w:val="auto"/>
          <w:sz w:val="28"/>
          <w:szCs w:val="28"/>
        </w:rPr>
        <w:t>Определение в</w:t>
      </w:r>
      <w:r w:rsidR="009058DF" w:rsidRPr="009058DF">
        <w:rPr>
          <w:rFonts w:ascii="Times New Roman" w:hAnsi="Times New Roman" w:cs="Times New Roman"/>
          <w:color w:val="auto"/>
          <w:sz w:val="28"/>
          <w:szCs w:val="28"/>
        </w:rPr>
        <w:t>ероятности безотказной работы тепловой сети</w:t>
      </w:r>
      <w:bookmarkEnd w:id="2"/>
      <w:r w:rsidR="009058DF" w:rsidRPr="009058D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по каждому источнику тепловой энергии</w:t>
      </w:r>
    </w:p>
    <w:p w:rsidR="009058DF" w:rsidRDefault="009058DF" w:rsidP="009058DF">
      <w:pPr>
        <w:pStyle w:val="Default"/>
        <w:rPr>
          <w:sz w:val="23"/>
          <w:szCs w:val="23"/>
        </w:rPr>
      </w:pPr>
    </w:p>
    <w:p w:rsidR="009058DF" w:rsidRPr="009058DF" w:rsidRDefault="009058DF" w:rsidP="009058DF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58DF">
        <w:rPr>
          <w:rFonts w:ascii="Times New Roman" w:hAnsi="Times New Roman" w:cs="Times New Roman"/>
          <w:sz w:val="28"/>
          <w:szCs w:val="28"/>
        </w:rPr>
        <w:t>Вероятности безотказной работы участков тепловой сети рассчитываются относительно тепловых камер, в которых к магистральным теплопроводам присоединены ответвления, обеспечивающие передачу тепловой энергии от магистрального теплопровода в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58DF">
        <w:rPr>
          <w:rFonts w:ascii="Times New Roman" w:hAnsi="Times New Roman" w:cs="Times New Roman"/>
          <w:sz w:val="28"/>
          <w:szCs w:val="28"/>
        </w:rPr>
        <w:t xml:space="preserve">(микрорайон, планировочный квартал, кадастровый квартал). </w:t>
      </w:r>
    </w:p>
    <w:p w:rsidR="00726D53" w:rsidRDefault="009058DF" w:rsidP="003D1EB4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58DF">
        <w:rPr>
          <w:rFonts w:ascii="Times New Roman" w:hAnsi="Times New Roman" w:cs="Times New Roman"/>
          <w:sz w:val="28"/>
          <w:szCs w:val="28"/>
        </w:rPr>
        <w:t xml:space="preserve">Вероятности безотказной работы рассчитываются для всех магистральных теплопроводов </w:t>
      </w:r>
      <w:r>
        <w:rPr>
          <w:rFonts w:ascii="Times New Roman" w:hAnsi="Times New Roman" w:cs="Times New Roman"/>
          <w:sz w:val="28"/>
          <w:szCs w:val="28"/>
        </w:rPr>
        <w:t>систем</w:t>
      </w:r>
      <w:r w:rsidR="00F0420C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r w:rsidR="00A95C86">
        <w:rPr>
          <w:rFonts w:ascii="Times New Roman" w:hAnsi="Times New Roman" w:cs="Times New Roman"/>
          <w:sz w:val="28"/>
          <w:szCs w:val="28"/>
        </w:rPr>
        <w:t>города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95C86">
        <w:rPr>
          <w:rFonts w:ascii="Times New Roman" w:hAnsi="Times New Roman" w:cs="Times New Roman"/>
          <w:sz w:val="28"/>
          <w:szCs w:val="28"/>
        </w:rPr>
        <w:t>Королев</w:t>
      </w:r>
      <w:r w:rsidR="00AF6F6A">
        <w:rPr>
          <w:rFonts w:ascii="Times New Roman" w:hAnsi="Times New Roman" w:cs="Times New Roman"/>
          <w:sz w:val="28"/>
          <w:szCs w:val="28"/>
        </w:rPr>
        <w:t>.</w:t>
      </w:r>
    </w:p>
    <w:p w:rsidR="00852977" w:rsidRPr="00852977" w:rsidRDefault="00852977" w:rsidP="00852977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97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таблиц</w:t>
      </w:r>
      <w:r w:rsidR="00AB4B94">
        <w:rPr>
          <w:rFonts w:ascii="Times New Roman" w:hAnsi="Times New Roman" w:cs="Times New Roman"/>
          <w:sz w:val="28"/>
          <w:szCs w:val="28"/>
        </w:rPr>
        <w:t>е</w:t>
      </w:r>
      <w:r w:rsidRPr="00852977">
        <w:rPr>
          <w:rFonts w:ascii="Times New Roman" w:hAnsi="Times New Roman" w:cs="Times New Roman"/>
          <w:sz w:val="28"/>
          <w:szCs w:val="28"/>
        </w:rPr>
        <w:t xml:space="preserve"> </w:t>
      </w:r>
      <w:r w:rsidR="003D1EB4">
        <w:rPr>
          <w:rFonts w:ascii="Times New Roman" w:hAnsi="Times New Roman" w:cs="Times New Roman"/>
          <w:sz w:val="28"/>
          <w:szCs w:val="28"/>
        </w:rPr>
        <w:t>1</w:t>
      </w:r>
      <w:r w:rsidRPr="00852977">
        <w:rPr>
          <w:rFonts w:ascii="Times New Roman" w:hAnsi="Times New Roman" w:cs="Times New Roman"/>
          <w:sz w:val="28"/>
          <w:szCs w:val="28"/>
        </w:rPr>
        <w:t xml:space="preserve"> приведены </w:t>
      </w:r>
      <w:r w:rsidR="00AB4B94">
        <w:rPr>
          <w:rFonts w:ascii="Times New Roman" w:hAnsi="Times New Roman" w:cs="Times New Roman"/>
          <w:sz w:val="28"/>
          <w:szCs w:val="28"/>
        </w:rPr>
        <w:t>результаты</w:t>
      </w:r>
      <w:r w:rsidRPr="00852977">
        <w:rPr>
          <w:rFonts w:ascii="Times New Roman" w:hAnsi="Times New Roman" w:cs="Times New Roman"/>
          <w:sz w:val="28"/>
          <w:szCs w:val="28"/>
        </w:rPr>
        <w:t xml:space="preserve"> расчета вероятности безотказной работы </w:t>
      </w:r>
      <w:r w:rsidR="00AB4B94">
        <w:rPr>
          <w:rFonts w:ascii="Times New Roman" w:hAnsi="Times New Roman" w:cs="Times New Roman"/>
          <w:sz w:val="28"/>
          <w:szCs w:val="28"/>
        </w:rPr>
        <w:t>тепловых сетей по каждому источнику тепловой энергии</w:t>
      </w:r>
      <w:r w:rsidRPr="008529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27C" w:rsidRDefault="00852977" w:rsidP="00AF6F6A">
      <w:pPr>
        <w:spacing w:after="0" w:line="360" w:lineRule="auto"/>
        <w:ind w:firstLine="708"/>
        <w:jc w:val="both"/>
      </w:pPr>
      <w:r w:rsidRPr="00D53172">
        <w:rPr>
          <w:rFonts w:ascii="Times New Roman" w:hAnsi="Times New Roman" w:cs="Times New Roman"/>
          <w:sz w:val="28"/>
          <w:szCs w:val="28"/>
        </w:rPr>
        <w:t xml:space="preserve">Результаты расчета показывают, что вероятность отказа </w:t>
      </w:r>
      <w:r w:rsidR="003D1EB4">
        <w:rPr>
          <w:rFonts w:ascii="Times New Roman" w:hAnsi="Times New Roman" w:cs="Times New Roman"/>
          <w:sz w:val="28"/>
          <w:szCs w:val="28"/>
        </w:rPr>
        <w:t>систем</w:t>
      </w:r>
      <w:r w:rsidR="00D53172">
        <w:rPr>
          <w:rFonts w:ascii="Times New Roman" w:hAnsi="Times New Roman" w:cs="Times New Roman"/>
          <w:sz w:val="28"/>
          <w:szCs w:val="28"/>
        </w:rPr>
        <w:t xml:space="preserve"> теплоснабжения</w:t>
      </w:r>
      <w:r w:rsidR="003D1EB4">
        <w:rPr>
          <w:rFonts w:ascii="Times New Roman" w:hAnsi="Times New Roman" w:cs="Times New Roman"/>
          <w:sz w:val="28"/>
          <w:szCs w:val="28"/>
        </w:rPr>
        <w:t xml:space="preserve"> в среднем </w:t>
      </w:r>
      <w:r w:rsidR="00D53172">
        <w:rPr>
          <w:rFonts w:ascii="Times New Roman" w:hAnsi="Times New Roman" w:cs="Times New Roman"/>
          <w:sz w:val="28"/>
          <w:szCs w:val="28"/>
        </w:rPr>
        <w:t xml:space="preserve"> </w:t>
      </w:r>
      <w:r w:rsidR="00D53172" w:rsidRPr="0060106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16399">
        <w:rPr>
          <w:rFonts w:ascii="Times New Roman" w:hAnsi="Times New Roman" w:cs="Times New Roman"/>
          <w:sz w:val="28"/>
          <w:szCs w:val="28"/>
        </w:rPr>
        <w:t>0,8889</w:t>
      </w:r>
      <w:r w:rsidRPr="00601062">
        <w:rPr>
          <w:rFonts w:ascii="Times New Roman" w:hAnsi="Times New Roman" w:cs="Times New Roman"/>
          <w:sz w:val="28"/>
          <w:szCs w:val="28"/>
        </w:rPr>
        <w:t>,</w:t>
      </w:r>
      <w:r w:rsidRPr="003D1EB4">
        <w:rPr>
          <w:rFonts w:ascii="Times New Roman" w:hAnsi="Times New Roman" w:cs="Times New Roman"/>
          <w:sz w:val="28"/>
          <w:szCs w:val="28"/>
        </w:rPr>
        <w:t xml:space="preserve"> </w:t>
      </w:r>
      <w:r w:rsidR="00D53172" w:rsidRPr="003D1EB4">
        <w:rPr>
          <w:rFonts w:ascii="Times New Roman" w:hAnsi="Times New Roman" w:cs="Times New Roman"/>
          <w:sz w:val="28"/>
          <w:szCs w:val="28"/>
        </w:rPr>
        <w:t>что</w:t>
      </w:r>
      <w:r w:rsidR="00D53172">
        <w:rPr>
          <w:rFonts w:ascii="Times New Roman" w:hAnsi="Times New Roman" w:cs="Times New Roman"/>
          <w:sz w:val="28"/>
          <w:szCs w:val="28"/>
        </w:rPr>
        <w:t xml:space="preserve"> </w:t>
      </w:r>
      <w:r w:rsidR="00601062">
        <w:rPr>
          <w:rFonts w:ascii="Times New Roman" w:hAnsi="Times New Roman" w:cs="Times New Roman"/>
          <w:sz w:val="28"/>
          <w:szCs w:val="28"/>
        </w:rPr>
        <w:t xml:space="preserve">незначительно </w:t>
      </w:r>
      <w:r w:rsidR="00D53172">
        <w:rPr>
          <w:rFonts w:ascii="Times New Roman" w:hAnsi="Times New Roman" w:cs="Times New Roman"/>
          <w:sz w:val="28"/>
          <w:szCs w:val="28"/>
        </w:rPr>
        <w:t xml:space="preserve">ниже </w:t>
      </w:r>
      <w:proofErr w:type="gramStart"/>
      <w:r w:rsidRPr="00D53172">
        <w:rPr>
          <w:rFonts w:ascii="Times New Roman" w:hAnsi="Times New Roman" w:cs="Times New Roman"/>
          <w:sz w:val="28"/>
          <w:szCs w:val="28"/>
        </w:rPr>
        <w:t>требуемой</w:t>
      </w:r>
      <w:proofErr w:type="gramEnd"/>
      <w:r w:rsidRPr="00D53172">
        <w:rPr>
          <w:rFonts w:ascii="Times New Roman" w:hAnsi="Times New Roman" w:cs="Times New Roman"/>
          <w:sz w:val="28"/>
          <w:szCs w:val="28"/>
        </w:rPr>
        <w:t xml:space="preserve"> в СНиП 41-02-2003. Основное снижение вероятности безотказной работы до значения ниже нормативного происходит из-за значительного</w:t>
      </w:r>
      <w:r w:rsidR="00EA3879">
        <w:rPr>
          <w:rFonts w:ascii="Times New Roman" w:hAnsi="Times New Roman" w:cs="Times New Roman"/>
          <w:sz w:val="28"/>
          <w:szCs w:val="28"/>
        </w:rPr>
        <w:t xml:space="preserve"> срока эксплуатации трубопроводов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227C" w:rsidRDefault="0018227C" w:rsidP="0018227C"/>
    <w:p w:rsidR="0018227C" w:rsidRDefault="0018227C" w:rsidP="0018227C">
      <w:pPr>
        <w:sectPr w:rsidR="0018227C" w:rsidSect="00B326CE">
          <w:footerReference w:type="defaul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18227C" w:rsidRPr="0018227C" w:rsidRDefault="0018227C" w:rsidP="0018227C">
      <w:pPr>
        <w:pStyle w:val="aa"/>
        <w:spacing w:after="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8227C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Таблица </w:t>
      </w:r>
      <w:r w:rsidR="00BC62B4" w:rsidRPr="001822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begin"/>
      </w:r>
      <w:r w:rsidRPr="0018227C">
        <w:rPr>
          <w:rFonts w:ascii="Times New Roman" w:hAnsi="Times New Roman" w:cs="Times New Roman"/>
          <w:b w:val="0"/>
          <w:color w:val="auto"/>
          <w:sz w:val="28"/>
          <w:szCs w:val="28"/>
        </w:rPr>
        <w:instrText xml:space="preserve"> SEQ Таблица \* ARABIC </w:instrText>
      </w:r>
      <w:r w:rsidR="00BC62B4" w:rsidRPr="001822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separate"/>
      </w:r>
      <w:r w:rsidR="003D1EB4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1</w:t>
      </w:r>
      <w:r w:rsidR="00BC62B4" w:rsidRPr="0018227C">
        <w:rPr>
          <w:rFonts w:ascii="Times New Roman" w:hAnsi="Times New Roman" w:cs="Times New Roman"/>
          <w:b w:val="0"/>
          <w:color w:val="auto"/>
          <w:sz w:val="28"/>
          <w:szCs w:val="28"/>
        </w:rPr>
        <w:fldChar w:fldCharType="end"/>
      </w:r>
    </w:p>
    <w:p w:rsidR="0018227C" w:rsidRDefault="0018227C" w:rsidP="0018227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8227C">
        <w:rPr>
          <w:rFonts w:ascii="Times New Roman" w:hAnsi="Times New Roman" w:cs="Times New Roman"/>
          <w:bCs/>
          <w:sz w:val="28"/>
          <w:szCs w:val="28"/>
        </w:rPr>
        <w:t xml:space="preserve">Результаты расчета вероятности безотказной работы </w:t>
      </w:r>
    </w:p>
    <w:p w:rsidR="0018227C" w:rsidRPr="0018227C" w:rsidRDefault="0018227C" w:rsidP="0018227C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5310" w:type="dxa"/>
        <w:tblInd w:w="-318" w:type="dxa"/>
        <w:tblLook w:val="04A0"/>
      </w:tblPr>
      <w:tblGrid>
        <w:gridCol w:w="4254"/>
        <w:gridCol w:w="1041"/>
        <w:gridCol w:w="2057"/>
        <w:gridCol w:w="2306"/>
        <w:gridCol w:w="3119"/>
        <w:gridCol w:w="2533"/>
      </w:tblGrid>
      <w:tr w:rsidR="00B7040E" w:rsidRPr="00B7040E" w:rsidTr="00B7040E">
        <w:trPr>
          <w:trHeight w:val="120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040E" w:rsidRPr="00B7040E" w:rsidRDefault="00B7040E" w:rsidP="00B70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Наименование котельной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040E" w:rsidRPr="00B7040E" w:rsidRDefault="00B7040E" w:rsidP="00B70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Длина, </w:t>
            </w:r>
            <w:proofErr w:type="gramStart"/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км</w:t>
            </w:r>
            <w:proofErr w:type="gramEnd"/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40E" w:rsidRPr="00B7040E" w:rsidRDefault="00B7040E" w:rsidP="00B70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Максимальный диаметр, </w:t>
            </w:r>
            <w:proofErr w:type="gramStart"/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мм</w:t>
            </w:r>
            <w:proofErr w:type="gramEnd"/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40E" w:rsidRPr="00B7040E" w:rsidRDefault="00B7040E" w:rsidP="00B70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Суммарная частота отказов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40E" w:rsidRPr="00B7040E" w:rsidRDefault="00B7040E" w:rsidP="00B70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Параметр потока отказов теплоснабжения при отказе участка накопительным итогом</w:t>
            </w: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40E" w:rsidRPr="00B7040E" w:rsidRDefault="00B7040E" w:rsidP="00B70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Вероятность безотказной работы всей тепловой сети</w:t>
            </w:r>
          </w:p>
        </w:tc>
      </w:tr>
      <w:tr w:rsidR="00B7040E" w:rsidRPr="00B7040E" w:rsidTr="00B7040E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«Комитетский лес»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1,9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2,6655E-07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0,029730135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0,9707</w:t>
            </w:r>
          </w:p>
        </w:tc>
      </w:tr>
      <w:tr w:rsidR="00B7040E" w:rsidRPr="00B7040E" w:rsidTr="00B7040E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«Текстильщик»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12,3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377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9,2134E-08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0,095484379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0,9089</w:t>
            </w:r>
          </w:p>
        </w:tc>
      </w:tr>
      <w:tr w:rsidR="00B7040E" w:rsidRPr="00B7040E" w:rsidTr="00B7040E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Котельная «Альфа </w:t>
            </w:r>
            <w:proofErr w:type="spellStart"/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Лаваль</w:t>
            </w:r>
            <w:proofErr w:type="spellEnd"/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5,2648E-08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0,094822513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0,9095</w:t>
            </w:r>
          </w:p>
        </w:tc>
      </w:tr>
      <w:tr w:rsidR="00B7040E" w:rsidRPr="00B7040E" w:rsidTr="00B7040E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«Тарасовская»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2,6655E-07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0,012329749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0,9877</w:t>
            </w:r>
          </w:p>
        </w:tc>
      </w:tr>
      <w:tr w:rsidR="00B7040E" w:rsidRPr="00B7040E" w:rsidTr="00B7040E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«Школа-интернат»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2,6655E-07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0,016950608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0,9832</w:t>
            </w:r>
          </w:p>
        </w:tc>
      </w:tr>
      <w:tr w:rsidR="00B7040E" w:rsidRPr="00B7040E" w:rsidTr="00B7040E">
        <w:trPr>
          <w:trHeight w:val="30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Котельная «</w:t>
            </w:r>
            <w:proofErr w:type="spellStart"/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Бурковская</w:t>
            </w:r>
            <w:proofErr w:type="spellEnd"/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2,6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7,0417E-07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0,092821974</w:t>
            </w:r>
          </w:p>
        </w:tc>
        <w:tc>
          <w:tcPr>
            <w:tcW w:w="2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40E" w:rsidRPr="00B7040E" w:rsidRDefault="00B7040E" w:rsidP="00B704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704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0,9114</w:t>
            </w:r>
          </w:p>
        </w:tc>
      </w:tr>
    </w:tbl>
    <w:p w:rsidR="0018227C" w:rsidRPr="0018227C" w:rsidRDefault="0018227C" w:rsidP="0018227C"/>
    <w:p w:rsidR="0018227C" w:rsidRDefault="0018227C" w:rsidP="00A02DBE"/>
    <w:p w:rsidR="0018227C" w:rsidRDefault="0018227C" w:rsidP="00A02DBE"/>
    <w:p w:rsidR="0018227C" w:rsidRDefault="0018227C" w:rsidP="00A02DBE"/>
    <w:p w:rsidR="0018227C" w:rsidRDefault="0018227C" w:rsidP="00A02DBE"/>
    <w:p w:rsidR="0018227C" w:rsidRDefault="0018227C" w:rsidP="00AB4B94">
      <w:pPr>
        <w:pStyle w:val="aa"/>
        <w:spacing w:after="0"/>
        <w:jc w:val="right"/>
      </w:pPr>
    </w:p>
    <w:sectPr w:rsidR="0018227C" w:rsidSect="00F0420C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DCC" w:rsidRDefault="005C1DCC" w:rsidP="00B326CE">
      <w:pPr>
        <w:spacing w:after="0" w:line="240" w:lineRule="auto"/>
      </w:pPr>
      <w:r>
        <w:separator/>
      </w:r>
    </w:p>
  </w:endnote>
  <w:endnote w:type="continuationSeparator" w:id="0">
    <w:p w:rsidR="005C1DCC" w:rsidRDefault="005C1DCC" w:rsidP="00B32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6282"/>
      <w:docPartObj>
        <w:docPartGallery w:val="Page Numbers (Bottom of Page)"/>
        <w:docPartUnique/>
      </w:docPartObj>
    </w:sdtPr>
    <w:sdtContent>
      <w:p w:rsidR="005C1DCC" w:rsidRDefault="00BC62B4">
        <w:pPr>
          <w:pStyle w:val="a7"/>
          <w:jc w:val="right"/>
        </w:pPr>
        <w:fldSimple w:instr=" PAGE   \* MERGEFORMAT ">
          <w:r w:rsidR="000F5B11">
            <w:rPr>
              <w:noProof/>
            </w:rPr>
            <w:t>2</w:t>
          </w:r>
        </w:fldSimple>
      </w:p>
    </w:sdtContent>
  </w:sdt>
  <w:p w:rsidR="005C1DCC" w:rsidRDefault="005C1DC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DCC" w:rsidRDefault="005C1DCC" w:rsidP="00B326CE">
      <w:pPr>
        <w:spacing w:after="0" w:line="240" w:lineRule="auto"/>
      </w:pPr>
      <w:r>
        <w:separator/>
      </w:r>
    </w:p>
  </w:footnote>
  <w:footnote w:type="continuationSeparator" w:id="0">
    <w:p w:rsidR="005C1DCC" w:rsidRDefault="005C1DCC" w:rsidP="00B32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11F4"/>
    <w:multiLevelType w:val="hybridMultilevel"/>
    <w:tmpl w:val="FF4A7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A4F61"/>
    <w:multiLevelType w:val="singleLevel"/>
    <w:tmpl w:val="15C6AD92"/>
    <w:lvl w:ilvl="0">
      <w:start w:val="5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143D1B6D"/>
    <w:multiLevelType w:val="hybridMultilevel"/>
    <w:tmpl w:val="3F8A24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FFC3529"/>
    <w:multiLevelType w:val="singleLevel"/>
    <w:tmpl w:val="3C18E8FC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2FBD224C"/>
    <w:multiLevelType w:val="hybridMultilevel"/>
    <w:tmpl w:val="22FC91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F041F"/>
    <w:multiLevelType w:val="hybridMultilevel"/>
    <w:tmpl w:val="88CA19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35D1059"/>
    <w:multiLevelType w:val="hybridMultilevel"/>
    <w:tmpl w:val="94F4ECBC"/>
    <w:lvl w:ilvl="0" w:tplc="ABD0E2FC">
      <w:start w:val="1"/>
      <w:numFmt w:val="decimal"/>
      <w:lvlText w:val="2.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1704BE"/>
    <w:multiLevelType w:val="hybridMultilevel"/>
    <w:tmpl w:val="A8DEF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AE0656"/>
    <w:multiLevelType w:val="hybridMultilevel"/>
    <w:tmpl w:val="6032B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F17A08"/>
    <w:multiLevelType w:val="hybridMultilevel"/>
    <w:tmpl w:val="B14AD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FC32F1"/>
    <w:multiLevelType w:val="hybridMultilevel"/>
    <w:tmpl w:val="5296C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F56641"/>
    <w:multiLevelType w:val="hybridMultilevel"/>
    <w:tmpl w:val="C540C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994480"/>
    <w:multiLevelType w:val="hybridMultilevel"/>
    <w:tmpl w:val="3462F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6C414D"/>
    <w:multiLevelType w:val="hybridMultilevel"/>
    <w:tmpl w:val="E0CA6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0"/>
  </w:num>
  <w:num w:numId="5">
    <w:abstractNumId w:val="11"/>
  </w:num>
  <w:num w:numId="6">
    <w:abstractNumId w:val="9"/>
  </w:num>
  <w:num w:numId="7">
    <w:abstractNumId w:val="8"/>
  </w:num>
  <w:num w:numId="8">
    <w:abstractNumId w:val="2"/>
  </w:num>
  <w:num w:numId="9">
    <w:abstractNumId w:val="5"/>
  </w:num>
  <w:num w:numId="10">
    <w:abstractNumId w:val="13"/>
  </w:num>
  <w:num w:numId="11">
    <w:abstractNumId w:val="3"/>
  </w:num>
  <w:num w:numId="12">
    <w:abstractNumId w:val="1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26CE"/>
    <w:rsid w:val="00067594"/>
    <w:rsid w:val="000765E7"/>
    <w:rsid w:val="000A26FE"/>
    <w:rsid w:val="000A6E22"/>
    <w:rsid w:val="000E1737"/>
    <w:rsid w:val="000F5B11"/>
    <w:rsid w:val="001307FC"/>
    <w:rsid w:val="00164C45"/>
    <w:rsid w:val="001670E4"/>
    <w:rsid w:val="0018227C"/>
    <w:rsid w:val="00192C02"/>
    <w:rsid w:val="00210FC8"/>
    <w:rsid w:val="002262DA"/>
    <w:rsid w:val="00252C40"/>
    <w:rsid w:val="00260386"/>
    <w:rsid w:val="00263AA8"/>
    <w:rsid w:val="00275FFE"/>
    <w:rsid w:val="002A132B"/>
    <w:rsid w:val="002A5FE3"/>
    <w:rsid w:val="002A61C5"/>
    <w:rsid w:val="002B164C"/>
    <w:rsid w:val="003004E0"/>
    <w:rsid w:val="00307BF0"/>
    <w:rsid w:val="00327531"/>
    <w:rsid w:val="00342ED0"/>
    <w:rsid w:val="003455E6"/>
    <w:rsid w:val="00392147"/>
    <w:rsid w:val="003C4467"/>
    <w:rsid w:val="003C4C5E"/>
    <w:rsid w:val="003D1EB4"/>
    <w:rsid w:val="00466410"/>
    <w:rsid w:val="00494794"/>
    <w:rsid w:val="004C7817"/>
    <w:rsid w:val="00503538"/>
    <w:rsid w:val="00591F7A"/>
    <w:rsid w:val="005A658A"/>
    <w:rsid w:val="005B294C"/>
    <w:rsid w:val="005B74D0"/>
    <w:rsid w:val="005C1DCC"/>
    <w:rsid w:val="00601062"/>
    <w:rsid w:val="00610EA5"/>
    <w:rsid w:val="00635C40"/>
    <w:rsid w:val="00652908"/>
    <w:rsid w:val="006644C3"/>
    <w:rsid w:val="00693934"/>
    <w:rsid w:val="006E5D93"/>
    <w:rsid w:val="00716399"/>
    <w:rsid w:val="00720F08"/>
    <w:rsid w:val="00721514"/>
    <w:rsid w:val="00726D53"/>
    <w:rsid w:val="00746E89"/>
    <w:rsid w:val="007542EC"/>
    <w:rsid w:val="007E3A0B"/>
    <w:rsid w:val="007F274F"/>
    <w:rsid w:val="008369BE"/>
    <w:rsid w:val="00846822"/>
    <w:rsid w:val="00852977"/>
    <w:rsid w:val="00872868"/>
    <w:rsid w:val="00881A9D"/>
    <w:rsid w:val="008C267C"/>
    <w:rsid w:val="008F53F4"/>
    <w:rsid w:val="009058DF"/>
    <w:rsid w:val="00967318"/>
    <w:rsid w:val="00A02DBE"/>
    <w:rsid w:val="00A10CB7"/>
    <w:rsid w:val="00A13545"/>
    <w:rsid w:val="00A15E4A"/>
    <w:rsid w:val="00A32E6B"/>
    <w:rsid w:val="00A467E2"/>
    <w:rsid w:val="00A8270A"/>
    <w:rsid w:val="00A95C86"/>
    <w:rsid w:val="00AA38CA"/>
    <w:rsid w:val="00AA7D47"/>
    <w:rsid w:val="00AB1600"/>
    <w:rsid w:val="00AB4B94"/>
    <w:rsid w:val="00AC5638"/>
    <w:rsid w:val="00AE4E49"/>
    <w:rsid w:val="00AE7CBA"/>
    <w:rsid w:val="00AF6F6A"/>
    <w:rsid w:val="00B2593B"/>
    <w:rsid w:val="00B326CE"/>
    <w:rsid w:val="00B7040E"/>
    <w:rsid w:val="00B70E5E"/>
    <w:rsid w:val="00BC62B4"/>
    <w:rsid w:val="00C16C19"/>
    <w:rsid w:val="00C2069A"/>
    <w:rsid w:val="00C50581"/>
    <w:rsid w:val="00C513F4"/>
    <w:rsid w:val="00C54070"/>
    <w:rsid w:val="00D26A4B"/>
    <w:rsid w:val="00D53172"/>
    <w:rsid w:val="00D53C0A"/>
    <w:rsid w:val="00D7518E"/>
    <w:rsid w:val="00D778E2"/>
    <w:rsid w:val="00D962FB"/>
    <w:rsid w:val="00DB0107"/>
    <w:rsid w:val="00DB4FE2"/>
    <w:rsid w:val="00E00E36"/>
    <w:rsid w:val="00E14007"/>
    <w:rsid w:val="00E64A7D"/>
    <w:rsid w:val="00EA3879"/>
    <w:rsid w:val="00EA6770"/>
    <w:rsid w:val="00EB60F6"/>
    <w:rsid w:val="00ED395C"/>
    <w:rsid w:val="00EF307A"/>
    <w:rsid w:val="00F0420C"/>
    <w:rsid w:val="00F26850"/>
    <w:rsid w:val="00F61FE5"/>
    <w:rsid w:val="00F655CD"/>
    <w:rsid w:val="00FB4292"/>
    <w:rsid w:val="00FF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70A"/>
  </w:style>
  <w:style w:type="paragraph" w:styleId="1">
    <w:name w:val="heading 1"/>
    <w:basedOn w:val="a"/>
    <w:next w:val="a"/>
    <w:link w:val="10"/>
    <w:uiPriority w:val="9"/>
    <w:qFormat/>
    <w:rsid w:val="00B326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058D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6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32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26CE"/>
  </w:style>
  <w:style w:type="paragraph" w:styleId="a7">
    <w:name w:val="footer"/>
    <w:basedOn w:val="a"/>
    <w:link w:val="a8"/>
    <w:uiPriority w:val="99"/>
    <w:unhideWhenUsed/>
    <w:rsid w:val="00B32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26CE"/>
  </w:style>
  <w:style w:type="character" w:customStyle="1" w:styleId="10">
    <w:name w:val="Заголовок 1 Знак"/>
    <w:basedOn w:val="a0"/>
    <w:link w:val="1"/>
    <w:uiPriority w:val="9"/>
    <w:rsid w:val="00B326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B326CE"/>
    <w:pPr>
      <w:ind w:left="720"/>
      <w:contextualSpacing/>
    </w:pPr>
  </w:style>
  <w:style w:type="paragraph" w:styleId="aa">
    <w:name w:val="caption"/>
    <w:basedOn w:val="a"/>
    <w:next w:val="a"/>
    <w:uiPriority w:val="35"/>
    <w:unhideWhenUsed/>
    <w:qFormat/>
    <w:rsid w:val="00A1354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OC Heading"/>
    <w:basedOn w:val="1"/>
    <w:next w:val="a"/>
    <w:uiPriority w:val="39"/>
    <w:semiHidden/>
    <w:unhideWhenUsed/>
    <w:qFormat/>
    <w:rsid w:val="00AB1600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B1600"/>
    <w:pPr>
      <w:spacing w:after="100"/>
    </w:pPr>
  </w:style>
  <w:style w:type="character" w:styleId="ac">
    <w:name w:val="Hyperlink"/>
    <w:basedOn w:val="a0"/>
    <w:uiPriority w:val="99"/>
    <w:unhideWhenUsed/>
    <w:rsid w:val="00AB1600"/>
    <w:rPr>
      <w:color w:val="0000FF" w:themeColor="hyperlink"/>
      <w:u w:val="single"/>
    </w:rPr>
  </w:style>
  <w:style w:type="paragraph" w:styleId="21">
    <w:name w:val="Body Text Indent 2"/>
    <w:basedOn w:val="a"/>
    <w:link w:val="22"/>
    <w:rsid w:val="00067594"/>
    <w:pPr>
      <w:spacing w:after="0" w:line="240" w:lineRule="auto"/>
      <w:ind w:left="180" w:firstLine="52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67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rsid w:val="00067594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067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rsid w:val="0006759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067594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Body Text Indent 3"/>
    <w:basedOn w:val="a"/>
    <w:link w:val="30"/>
    <w:rsid w:val="00067594"/>
    <w:pPr>
      <w:widowControl w:val="0"/>
      <w:spacing w:after="0" w:line="240" w:lineRule="auto"/>
      <w:ind w:firstLine="485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67594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Default">
    <w:name w:val="Default"/>
    <w:rsid w:val="001307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1">
    <w:name w:val="Placeholder Text"/>
    <w:basedOn w:val="a0"/>
    <w:uiPriority w:val="99"/>
    <w:semiHidden/>
    <w:rsid w:val="00610EA5"/>
    <w:rPr>
      <w:color w:val="808080"/>
    </w:rPr>
  </w:style>
  <w:style w:type="character" w:customStyle="1" w:styleId="20">
    <w:name w:val="Заголовок 2 Знак"/>
    <w:basedOn w:val="a0"/>
    <w:link w:val="2"/>
    <w:uiPriority w:val="9"/>
    <w:rsid w:val="009058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f2">
    <w:name w:val="Table Grid"/>
    <w:basedOn w:val="a1"/>
    <w:uiPriority w:val="59"/>
    <w:rsid w:val="00D778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503538"/>
    <w:pPr>
      <w:spacing w:after="100"/>
      <w:ind w:left="2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DB815-8161-47C5-BB7C-1B638D056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 Studio</Company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6</cp:revision>
  <dcterms:created xsi:type="dcterms:W3CDTF">2014-05-25T09:40:00Z</dcterms:created>
  <dcterms:modified xsi:type="dcterms:W3CDTF">2014-05-25T10:26:00Z</dcterms:modified>
</cp:coreProperties>
</file>